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CB4B" w14:textId="6DE3405B" w:rsidR="00F3100C" w:rsidRDefault="00F3100C" w:rsidP="00F3100C">
      <w:pPr>
        <w:rPr>
          <w:rFonts w:ascii="Times New Roman" w:hAnsi="Times New Roman"/>
          <w:b/>
          <w:bCs/>
        </w:rPr>
      </w:pPr>
      <w:r>
        <w:rPr>
          <w:rFonts w:eastAsia="Times New Roman" w:cstheme="minorHAnsi"/>
          <w:noProof/>
          <w:color w:val="030303"/>
          <w:lang w:val="en"/>
        </w:rPr>
        <w:drawing>
          <wp:anchor distT="0" distB="0" distL="114300" distR="114300" simplePos="0" relativeHeight="251668480" behindDoc="0" locked="0" layoutInCell="1" allowOverlap="1" wp14:anchorId="79272EF4" wp14:editId="68139DC9">
            <wp:simplePos x="0" y="0"/>
            <wp:positionH relativeFrom="column">
              <wp:posOffset>2002155</wp:posOffset>
            </wp:positionH>
            <wp:positionV relativeFrom="paragraph">
              <wp:posOffset>-180975</wp:posOffset>
            </wp:positionV>
            <wp:extent cx="1929130" cy="546735"/>
            <wp:effectExtent l="0" t="0" r="0" b="5715"/>
            <wp:wrapThrough wrapText="bothSides">
              <wp:wrapPolygon edited="0">
                <wp:start x="0" y="0"/>
                <wp:lineTo x="0" y="21073"/>
                <wp:lineTo x="21330" y="21073"/>
                <wp:lineTo x="2133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0FD095CA" wp14:editId="5352E409">
            <wp:simplePos x="0" y="0"/>
            <wp:positionH relativeFrom="column">
              <wp:posOffset>4302125</wp:posOffset>
            </wp:positionH>
            <wp:positionV relativeFrom="paragraph">
              <wp:posOffset>0</wp:posOffset>
            </wp:positionV>
            <wp:extent cx="1640840" cy="405765"/>
            <wp:effectExtent l="0" t="0" r="0" b="0"/>
            <wp:wrapThrough wrapText="bothSides">
              <wp:wrapPolygon edited="0">
                <wp:start x="0" y="0"/>
                <wp:lineTo x="0" y="20282"/>
                <wp:lineTo x="21316" y="20282"/>
                <wp:lineTo x="213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</w:rPr>
        <w:drawing>
          <wp:inline distT="0" distB="0" distL="0" distR="0" wp14:anchorId="0FB81C78" wp14:editId="2F453589">
            <wp:extent cx="1456267" cy="409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460" cy="4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61D52" w14:textId="77777777" w:rsidR="00F3100C" w:rsidRDefault="00F3100C" w:rsidP="00F3100C">
      <w:pPr>
        <w:rPr>
          <w:rFonts w:ascii="Times New Roman" w:hAnsi="Times New Roman"/>
          <w:b/>
          <w:bCs/>
        </w:rPr>
      </w:pPr>
    </w:p>
    <w:p w14:paraId="261E6516" w14:textId="54ACC3E0" w:rsidR="00F3100C" w:rsidRPr="00F3100C" w:rsidRDefault="00F3100C" w:rsidP="00F3100C">
      <w:pPr>
        <w:rPr>
          <w:rFonts w:ascii="Times New Roman" w:hAnsi="Times New Roman"/>
          <w:i/>
          <w:iCs/>
          <w:sz w:val="22"/>
          <w:szCs w:val="22"/>
        </w:rPr>
      </w:pPr>
      <w:r w:rsidRPr="00F3100C">
        <w:rPr>
          <w:rFonts w:ascii="Times New Roman" w:hAnsi="Times New Roman"/>
          <w:i/>
          <w:iCs/>
          <w:sz w:val="22"/>
          <w:szCs w:val="22"/>
        </w:rPr>
        <w:t xml:space="preserve">Last updated </w:t>
      </w:r>
      <w:r w:rsidR="008439EA">
        <w:rPr>
          <w:rFonts w:ascii="Times New Roman" w:hAnsi="Times New Roman"/>
          <w:i/>
          <w:iCs/>
          <w:sz w:val="22"/>
          <w:szCs w:val="22"/>
        </w:rPr>
        <w:t>0</w:t>
      </w:r>
      <w:r w:rsidR="00337A2C">
        <w:rPr>
          <w:rFonts w:ascii="Times New Roman" w:hAnsi="Times New Roman"/>
          <w:i/>
          <w:iCs/>
          <w:sz w:val="22"/>
          <w:szCs w:val="22"/>
        </w:rPr>
        <w:t>4</w:t>
      </w:r>
      <w:r w:rsidR="008439EA">
        <w:rPr>
          <w:rFonts w:ascii="Times New Roman" w:hAnsi="Times New Roman"/>
          <w:i/>
          <w:iCs/>
          <w:sz w:val="22"/>
          <w:szCs w:val="22"/>
        </w:rPr>
        <w:t>.11</w:t>
      </w:r>
      <w:r w:rsidR="00AB4A12">
        <w:rPr>
          <w:rFonts w:ascii="Times New Roman" w:hAnsi="Times New Roman"/>
          <w:i/>
          <w:iCs/>
          <w:sz w:val="22"/>
          <w:szCs w:val="22"/>
        </w:rPr>
        <w:t>.22</w:t>
      </w:r>
    </w:p>
    <w:p w14:paraId="1EA0694D" w14:textId="344BC6BC" w:rsidR="0065517B" w:rsidRPr="00AB4A12" w:rsidRDefault="00F3100C" w:rsidP="00F3100C">
      <w:pPr>
        <w:jc w:val="center"/>
        <w:rPr>
          <w:b/>
          <w:bCs/>
        </w:rPr>
      </w:pPr>
      <w:r w:rsidRPr="00AB4A12">
        <w:rPr>
          <w:b/>
          <w:bCs/>
        </w:rPr>
        <w:t>S</w:t>
      </w:r>
      <w:r w:rsidR="00C0620E" w:rsidRPr="00AB4A12">
        <w:rPr>
          <w:b/>
          <w:bCs/>
        </w:rPr>
        <w:t>tudent</w:t>
      </w:r>
      <w:r w:rsidR="00EC1C76">
        <w:rPr>
          <w:b/>
          <w:bCs/>
        </w:rPr>
        <w:t>/Intern</w:t>
      </w:r>
      <w:r w:rsidR="00C0620E" w:rsidRPr="00AB4A12">
        <w:rPr>
          <w:b/>
          <w:bCs/>
        </w:rPr>
        <w:t xml:space="preserve"> Orientation Checklist</w:t>
      </w:r>
      <w:r w:rsidR="00DF0025">
        <w:rPr>
          <w:b/>
          <w:bCs/>
        </w:rPr>
        <w:t xml:space="preserve"> (Sample)</w:t>
      </w:r>
    </w:p>
    <w:p w14:paraId="6A4D16AB" w14:textId="04190AD0" w:rsidR="00E7729C" w:rsidRDefault="00E7729C">
      <w:pPr>
        <w:rPr>
          <w:rFonts w:ascii="Times New Roman" w:hAnsi="Times New Roman"/>
        </w:rPr>
      </w:pP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824"/>
        <w:gridCol w:w="1336"/>
        <w:gridCol w:w="7830"/>
      </w:tblGrid>
      <w:tr w:rsidR="009F1826" w:rsidRPr="00126932" w14:paraId="62EFDE32" w14:textId="5BED9EE6" w:rsidTr="008439EA">
        <w:trPr>
          <w:cantSplit/>
          <w:trHeight w:val="602"/>
        </w:trPr>
        <w:tc>
          <w:tcPr>
            <w:tcW w:w="824" w:type="dxa"/>
          </w:tcPr>
          <w:p w14:paraId="3BEF53AE" w14:textId="77777777" w:rsidR="009F1826" w:rsidRPr="008439EA" w:rsidRDefault="009F1826" w:rsidP="009F18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0AA4965" w14:textId="144526D4" w:rsidR="009F1826" w:rsidRPr="008439EA" w:rsidRDefault="009F1826" w:rsidP="009F18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439EA">
              <w:rPr>
                <w:rFonts w:ascii="Calibri" w:hAnsi="Calibri" w:cs="Calibri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1336" w:type="dxa"/>
          </w:tcPr>
          <w:p w14:paraId="1FCE5447" w14:textId="5C1ACDD9" w:rsidR="009F1826" w:rsidRPr="008439EA" w:rsidRDefault="009F1826" w:rsidP="009F1826">
            <w:pPr>
              <w:ind w:firstLine="9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439EA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F73B817" wp14:editId="61894FCF">
                  <wp:extent cx="212229" cy="2190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84" cy="222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7145" w:rsidRPr="008439EA">
              <w:rPr>
                <w:rFonts w:ascii="Calibri" w:hAnsi="Calibri" w:cs="Calibri"/>
                <w:b/>
                <w:bCs/>
                <w:sz w:val="22"/>
                <w:szCs w:val="22"/>
              </w:rPr>
              <w:t>If Task Complete</w:t>
            </w:r>
          </w:p>
        </w:tc>
        <w:tc>
          <w:tcPr>
            <w:tcW w:w="7830" w:type="dxa"/>
          </w:tcPr>
          <w:p w14:paraId="32B53D68" w14:textId="77777777" w:rsidR="008439EA" w:rsidRDefault="008439EA" w:rsidP="008439E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983DE31" w14:textId="4F6A0E59" w:rsidR="009F1826" w:rsidRPr="008439EA" w:rsidRDefault="009F1826" w:rsidP="008439E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439EA">
              <w:rPr>
                <w:rFonts w:ascii="Calibri" w:hAnsi="Calibri" w:cs="Calibri"/>
                <w:b/>
                <w:bCs/>
                <w:sz w:val="22"/>
                <w:szCs w:val="22"/>
              </w:rPr>
              <w:t>Task List</w:t>
            </w:r>
          </w:p>
        </w:tc>
      </w:tr>
      <w:tr w:rsidR="0010664B" w:rsidRPr="00126932" w14:paraId="244D7D2B" w14:textId="7DD46E83" w:rsidTr="008439EA">
        <w:trPr>
          <w:cantSplit/>
          <w:trHeight w:val="602"/>
        </w:trPr>
        <w:tc>
          <w:tcPr>
            <w:tcW w:w="824" w:type="dxa"/>
            <w:vMerge w:val="restart"/>
            <w:textDirection w:val="btLr"/>
          </w:tcPr>
          <w:p w14:paraId="5DFA89B9" w14:textId="77777777" w:rsidR="0010664B" w:rsidRPr="008439EA" w:rsidRDefault="0010664B" w:rsidP="0058617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439EA">
              <w:rPr>
                <w:rFonts w:ascii="Calibri" w:hAnsi="Calibri" w:cs="Calibri"/>
                <w:b/>
                <w:bCs/>
                <w:sz w:val="22"/>
                <w:szCs w:val="22"/>
              </w:rPr>
              <w:t>Disease</w:t>
            </w:r>
          </w:p>
          <w:p w14:paraId="11E7EDA7" w14:textId="6D9AB326" w:rsidR="0010664B" w:rsidRPr="008439EA" w:rsidRDefault="0010664B" w:rsidP="00586173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b/>
                <w:bCs/>
                <w:sz w:val="22"/>
                <w:szCs w:val="22"/>
              </w:rPr>
              <w:t>Information</w:t>
            </w:r>
          </w:p>
        </w:tc>
        <w:tc>
          <w:tcPr>
            <w:tcW w:w="1336" w:type="dxa"/>
          </w:tcPr>
          <w:p w14:paraId="0994DD43" w14:textId="77777777" w:rsidR="0010664B" w:rsidRPr="008439EA" w:rsidRDefault="001066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2EF912A8" w14:textId="2191592E" w:rsidR="0010664B" w:rsidRPr="008439EA" w:rsidRDefault="0010664B">
            <w:p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>Student has completed all required readings to become familiar with the communicable diseases for which they will be conducting case-interviews.</w:t>
            </w:r>
          </w:p>
        </w:tc>
      </w:tr>
      <w:tr w:rsidR="0010664B" w:rsidRPr="00126932" w14:paraId="1D140BB7" w14:textId="7E28F84E" w:rsidTr="008439EA">
        <w:trPr>
          <w:trHeight w:val="620"/>
        </w:trPr>
        <w:tc>
          <w:tcPr>
            <w:tcW w:w="824" w:type="dxa"/>
            <w:vMerge/>
          </w:tcPr>
          <w:p w14:paraId="4BC78EB2" w14:textId="77777777" w:rsidR="0010664B" w:rsidRPr="008439EA" w:rsidRDefault="001066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41BA25B8" w14:textId="77777777" w:rsidR="0010664B" w:rsidRPr="008439EA" w:rsidRDefault="001066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1D45E2A1" w14:textId="113B680F" w:rsidR="0010664B" w:rsidRPr="008439EA" w:rsidRDefault="0010664B">
            <w:p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>Student has completed exercises based on required readings (</w:t>
            </w:r>
            <w:r w:rsidR="00186279">
              <w:rPr>
                <w:rFonts w:ascii="Calibri" w:hAnsi="Calibri" w:cs="Calibri"/>
                <w:sz w:val="22"/>
                <w:szCs w:val="22"/>
              </w:rPr>
              <w:t>i.e.,</w:t>
            </w:r>
            <w:r w:rsidRPr="008439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54F9D">
              <w:rPr>
                <w:rFonts w:ascii="Calibri" w:hAnsi="Calibri" w:cs="Calibri"/>
                <w:sz w:val="22"/>
                <w:szCs w:val="22"/>
              </w:rPr>
              <w:t>‘</w:t>
            </w:r>
            <w:r w:rsidR="00EE7AD2">
              <w:rPr>
                <w:rFonts w:ascii="Calibri" w:hAnsi="Calibri" w:cs="Calibri"/>
                <w:sz w:val="22"/>
                <w:szCs w:val="22"/>
              </w:rPr>
              <w:t>Disease Information</w:t>
            </w:r>
            <w:r w:rsidR="00A54F9D">
              <w:rPr>
                <w:rFonts w:ascii="Calibri" w:hAnsi="Calibri" w:cs="Calibri"/>
                <w:sz w:val="22"/>
                <w:szCs w:val="22"/>
              </w:rPr>
              <w:t>’</w:t>
            </w:r>
            <w:r w:rsidR="00EE7AD2">
              <w:rPr>
                <w:rFonts w:ascii="Calibri" w:hAnsi="Calibri" w:cs="Calibri"/>
                <w:sz w:val="22"/>
                <w:szCs w:val="22"/>
              </w:rPr>
              <w:t xml:space="preserve"> exercise </w:t>
            </w:r>
            <w:r w:rsidRPr="008439EA">
              <w:rPr>
                <w:rFonts w:ascii="Calibri" w:hAnsi="Calibri" w:cs="Calibri"/>
                <w:sz w:val="22"/>
                <w:szCs w:val="22"/>
              </w:rPr>
              <w:t>exampl</w:t>
            </w:r>
            <w:r w:rsidR="00EE7AD2">
              <w:rPr>
                <w:rFonts w:ascii="Calibri" w:hAnsi="Calibri" w:cs="Calibri"/>
                <w:sz w:val="22"/>
                <w:szCs w:val="22"/>
              </w:rPr>
              <w:t>e</w:t>
            </w:r>
            <w:r w:rsidRPr="008439EA">
              <w:rPr>
                <w:rFonts w:ascii="Calibri" w:hAnsi="Calibri" w:cs="Calibri"/>
                <w:sz w:val="22"/>
                <w:szCs w:val="22"/>
              </w:rPr>
              <w:t>s attached</w:t>
            </w:r>
            <w:r w:rsidR="00186279">
              <w:rPr>
                <w:rFonts w:ascii="Calibri" w:hAnsi="Calibri" w:cs="Calibri"/>
                <w:sz w:val="22"/>
                <w:szCs w:val="22"/>
              </w:rPr>
              <w:t xml:space="preserve"> for reference</w:t>
            </w:r>
            <w:r w:rsidRPr="008439EA">
              <w:rPr>
                <w:rFonts w:ascii="Calibri" w:hAnsi="Calibri" w:cs="Calibri"/>
                <w:sz w:val="22"/>
                <w:szCs w:val="22"/>
              </w:rPr>
              <w:t>).</w:t>
            </w:r>
          </w:p>
        </w:tc>
      </w:tr>
      <w:tr w:rsidR="0010664B" w:rsidRPr="00126932" w14:paraId="0C25F3D8" w14:textId="70292293" w:rsidTr="008439EA">
        <w:tc>
          <w:tcPr>
            <w:tcW w:w="824" w:type="dxa"/>
            <w:vMerge/>
          </w:tcPr>
          <w:p w14:paraId="25121B10" w14:textId="77777777" w:rsidR="0010664B" w:rsidRPr="008439EA" w:rsidRDefault="001066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42A4F567" w14:textId="77777777" w:rsidR="0010664B" w:rsidRPr="008439EA" w:rsidRDefault="001066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4D6739EC" w14:textId="6C14EAC6" w:rsidR="0010664B" w:rsidRPr="008439EA" w:rsidRDefault="0010664B">
            <w:p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>Student and mentor have together reviewed the communicable diseases for which they are assigned and corresponding completed exercises.</w:t>
            </w:r>
          </w:p>
        </w:tc>
      </w:tr>
      <w:tr w:rsidR="0010664B" w:rsidRPr="00126932" w14:paraId="4AEAD9C1" w14:textId="77777777" w:rsidTr="008439EA">
        <w:tc>
          <w:tcPr>
            <w:tcW w:w="824" w:type="dxa"/>
            <w:vMerge/>
          </w:tcPr>
          <w:p w14:paraId="379FEC8C" w14:textId="77777777" w:rsidR="0010664B" w:rsidRPr="008439EA" w:rsidRDefault="001066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0D428790" w14:textId="77777777" w:rsidR="0010664B" w:rsidRPr="008439EA" w:rsidRDefault="001066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4C57447A" w14:textId="2AD3FA70" w:rsidR="0010664B" w:rsidRPr="008439EA" w:rsidRDefault="0010664B">
            <w:p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>Student understands how to access reference material to look up information on diseases or processes (i.e., Control of Communicable Diseases Manual, Red Book, websites, regulations, state-specific protocols)</w:t>
            </w:r>
            <w:r w:rsidR="00B01953" w:rsidRPr="008439E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0075C" w:rsidRPr="00126932" w14:paraId="1111E518" w14:textId="77777777" w:rsidTr="008439EA">
        <w:trPr>
          <w:cantSplit/>
          <w:trHeight w:val="260"/>
        </w:trPr>
        <w:tc>
          <w:tcPr>
            <w:tcW w:w="824" w:type="dxa"/>
            <w:vMerge w:val="restart"/>
            <w:textDirection w:val="btLr"/>
          </w:tcPr>
          <w:p w14:paraId="3FF104F5" w14:textId="3C89B92F" w:rsidR="00D0075C" w:rsidRPr="008439EA" w:rsidRDefault="00D0075C" w:rsidP="005A2AA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439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Interview protocols/procedures </w:t>
            </w:r>
          </w:p>
        </w:tc>
        <w:tc>
          <w:tcPr>
            <w:tcW w:w="1336" w:type="dxa"/>
          </w:tcPr>
          <w:p w14:paraId="1C58030C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7779A73E" w14:textId="55CC2E85" w:rsidR="00D0075C" w:rsidRPr="008439EA" w:rsidRDefault="00D0075C" w:rsidP="005A2AAB">
            <w:pPr>
              <w:rPr>
                <w:sz w:val="22"/>
                <w:szCs w:val="22"/>
              </w:rPr>
            </w:pPr>
            <w:r w:rsidRPr="008439EA">
              <w:rPr>
                <w:sz w:val="22"/>
                <w:szCs w:val="22"/>
              </w:rPr>
              <w:t>Student has reviewed confidentiality and privacy issues regarding performing case investigations.</w:t>
            </w:r>
          </w:p>
        </w:tc>
      </w:tr>
      <w:tr w:rsidR="00D0075C" w:rsidRPr="00126932" w14:paraId="347F7CE4" w14:textId="77777777" w:rsidTr="008439EA">
        <w:trPr>
          <w:cantSplit/>
          <w:trHeight w:val="260"/>
        </w:trPr>
        <w:tc>
          <w:tcPr>
            <w:tcW w:w="824" w:type="dxa"/>
            <w:vMerge/>
            <w:textDirection w:val="btLr"/>
          </w:tcPr>
          <w:p w14:paraId="03490BCB" w14:textId="12798CE0" w:rsidR="00D0075C" w:rsidRPr="008439EA" w:rsidRDefault="00D0075C" w:rsidP="005A2AA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24562DCF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1928277C" w14:textId="0E401D1F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sz w:val="22"/>
                <w:szCs w:val="22"/>
              </w:rPr>
              <w:t>Student understands how to set up their cell phone/laptop with any systems needed for afterhours/weekend interview calls, texts and/or voicemails</w:t>
            </w:r>
            <w:r w:rsidR="009E1702" w:rsidRPr="008439EA">
              <w:rPr>
                <w:sz w:val="22"/>
                <w:szCs w:val="22"/>
              </w:rPr>
              <w:t xml:space="preserve"> </w:t>
            </w:r>
            <w:r w:rsidRPr="008439EA">
              <w:rPr>
                <w:sz w:val="22"/>
                <w:szCs w:val="22"/>
              </w:rPr>
              <w:t>(</w:t>
            </w:r>
            <w:r w:rsidR="00C555AA">
              <w:rPr>
                <w:sz w:val="22"/>
                <w:szCs w:val="22"/>
              </w:rPr>
              <w:t>i.e.,</w:t>
            </w:r>
            <w:r w:rsidRPr="008439EA">
              <w:rPr>
                <w:sz w:val="22"/>
                <w:szCs w:val="22"/>
              </w:rPr>
              <w:t xml:space="preserve"> </w:t>
            </w:r>
            <w:r w:rsidR="00A54F9D">
              <w:rPr>
                <w:sz w:val="22"/>
                <w:szCs w:val="22"/>
              </w:rPr>
              <w:t>‘</w:t>
            </w:r>
            <w:r w:rsidRPr="008439EA">
              <w:rPr>
                <w:sz w:val="22"/>
                <w:szCs w:val="22"/>
              </w:rPr>
              <w:t>Google Voice</w:t>
            </w:r>
            <w:r w:rsidR="004969E6">
              <w:rPr>
                <w:sz w:val="22"/>
                <w:szCs w:val="22"/>
              </w:rPr>
              <w:t xml:space="preserve"> for Interviews</w:t>
            </w:r>
            <w:r w:rsidR="00A54F9D">
              <w:rPr>
                <w:sz w:val="22"/>
                <w:szCs w:val="22"/>
              </w:rPr>
              <w:t>’</w:t>
            </w:r>
            <w:r w:rsidR="00C555AA">
              <w:rPr>
                <w:sz w:val="22"/>
                <w:szCs w:val="22"/>
              </w:rPr>
              <w:t xml:space="preserve"> </w:t>
            </w:r>
            <w:r w:rsidRPr="008439EA">
              <w:rPr>
                <w:sz w:val="22"/>
                <w:szCs w:val="22"/>
              </w:rPr>
              <w:t>attach</w:t>
            </w:r>
            <w:r w:rsidR="00A54F9D">
              <w:rPr>
                <w:sz w:val="22"/>
                <w:szCs w:val="22"/>
              </w:rPr>
              <w:t>ed for reference</w:t>
            </w:r>
            <w:r w:rsidRPr="008439EA">
              <w:rPr>
                <w:sz w:val="22"/>
                <w:szCs w:val="22"/>
              </w:rPr>
              <w:t>)</w:t>
            </w:r>
            <w:r w:rsidR="009E1702" w:rsidRPr="008439EA">
              <w:rPr>
                <w:sz w:val="22"/>
                <w:szCs w:val="22"/>
              </w:rPr>
              <w:t>.</w:t>
            </w:r>
          </w:p>
        </w:tc>
      </w:tr>
      <w:tr w:rsidR="00D0075C" w:rsidRPr="00126932" w14:paraId="0D464457" w14:textId="77777777" w:rsidTr="008439EA">
        <w:trPr>
          <w:cantSplit/>
          <w:trHeight w:val="260"/>
        </w:trPr>
        <w:tc>
          <w:tcPr>
            <w:tcW w:w="824" w:type="dxa"/>
            <w:vMerge/>
            <w:textDirection w:val="btLr"/>
          </w:tcPr>
          <w:p w14:paraId="3A354A86" w14:textId="77777777" w:rsidR="00D0075C" w:rsidRPr="008439EA" w:rsidRDefault="00D0075C" w:rsidP="005A2AA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14:paraId="2978BA91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179A15E2" w14:textId="281706AA" w:rsidR="00D0075C" w:rsidRPr="008439EA" w:rsidRDefault="00D0075C" w:rsidP="005A2AAB">
            <w:pPr>
              <w:rPr>
                <w:sz w:val="22"/>
                <w:szCs w:val="22"/>
              </w:rPr>
            </w:pPr>
            <w:r w:rsidRPr="008439EA">
              <w:rPr>
                <w:sz w:val="22"/>
                <w:szCs w:val="22"/>
              </w:rPr>
              <w:t>Student trained on surveillance system and other systems as needed (i.e., Maven, Redcap, electronic lab reporting systems, trackers for initial and outbreak interviews)</w:t>
            </w:r>
            <w:r w:rsidR="009E1702" w:rsidRPr="008439EA">
              <w:rPr>
                <w:sz w:val="22"/>
                <w:szCs w:val="22"/>
              </w:rPr>
              <w:t>.</w:t>
            </w:r>
          </w:p>
        </w:tc>
      </w:tr>
      <w:tr w:rsidR="00D0075C" w:rsidRPr="00126932" w14:paraId="47151127" w14:textId="62088EDB" w:rsidTr="008439EA">
        <w:tc>
          <w:tcPr>
            <w:tcW w:w="824" w:type="dxa"/>
            <w:vMerge/>
          </w:tcPr>
          <w:p w14:paraId="03DD4706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5AFA61A8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528157E0" w14:textId="73E07EC1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 xml:space="preserve">Student is trained in how to retrieve new interview requests/assignments from the system(s) being utilized. </w:t>
            </w:r>
          </w:p>
        </w:tc>
      </w:tr>
      <w:tr w:rsidR="00D0075C" w:rsidRPr="00126932" w14:paraId="70195679" w14:textId="7E9CCC79" w:rsidTr="008439EA">
        <w:tc>
          <w:tcPr>
            <w:tcW w:w="824" w:type="dxa"/>
            <w:vMerge/>
          </w:tcPr>
          <w:p w14:paraId="0E3FEAC6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451E6D18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3B4C1047" w14:textId="2B227A75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>For assigned interviews, the student understands the need to identify pertinent case information</w:t>
            </w:r>
            <w:r w:rsidR="00B92FBB" w:rsidRPr="008439EA">
              <w:rPr>
                <w:rFonts w:ascii="Calibri" w:hAnsi="Calibri" w:cs="Calibri"/>
                <w:sz w:val="22"/>
                <w:szCs w:val="22"/>
              </w:rPr>
              <w:t>, if available,</w:t>
            </w:r>
            <w:r w:rsidRPr="008439EA">
              <w:rPr>
                <w:rFonts w:ascii="Calibri" w:hAnsi="Calibri" w:cs="Calibri"/>
                <w:sz w:val="22"/>
                <w:szCs w:val="22"/>
              </w:rPr>
              <w:t xml:space="preserve"> based on case investigation forms</w:t>
            </w:r>
            <w:r w:rsidR="00B92FBB" w:rsidRPr="008439EA">
              <w:rPr>
                <w:rFonts w:ascii="Calibri" w:hAnsi="Calibri" w:cs="Calibri"/>
                <w:sz w:val="22"/>
                <w:szCs w:val="22"/>
              </w:rPr>
              <w:t>.</w:t>
            </w:r>
            <w:r w:rsidR="00B92FBB" w:rsidRPr="008439EA" w:rsidDel="00B92FB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B50DC">
              <w:rPr>
                <w:rFonts w:ascii="Calibri" w:hAnsi="Calibri" w:cs="Calibri"/>
                <w:sz w:val="22"/>
                <w:szCs w:val="22"/>
              </w:rPr>
              <w:t>(</w:t>
            </w:r>
            <w:r w:rsidRPr="008439EA">
              <w:rPr>
                <w:rFonts w:ascii="Calibri" w:hAnsi="Calibri" w:cs="Calibri"/>
                <w:sz w:val="22"/>
                <w:szCs w:val="22"/>
              </w:rPr>
              <w:t>i.e., primary language, age, occupation, outcome/disposition)</w:t>
            </w:r>
            <w:r w:rsidR="00561C81" w:rsidRPr="008439E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0075C" w:rsidRPr="00126932" w14:paraId="03121FB1" w14:textId="77777777" w:rsidTr="008439EA">
        <w:tc>
          <w:tcPr>
            <w:tcW w:w="824" w:type="dxa"/>
            <w:vMerge/>
          </w:tcPr>
          <w:p w14:paraId="3F33BACD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3E922450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0787E2BD" w14:textId="7D9E8445" w:rsidR="00D0075C" w:rsidRPr="008439EA" w:rsidRDefault="00D0075C" w:rsidP="005A2AAB">
            <w:pPr>
              <w:pStyle w:val="Default"/>
              <w:rPr>
                <w:sz w:val="22"/>
                <w:szCs w:val="22"/>
              </w:rPr>
            </w:pPr>
            <w:r w:rsidRPr="008439EA">
              <w:rPr>
                <w:sz w:val="22"/>
                <w:szCs w:val="22"/>
              </w:rPr>
              <w:t>If the case is non-English speaking, the student understands the process to contact and use translation services for interviews.</w:t>
            </w:r>
          </w:p>
        </w:tc>
      </w:tr>
      <w:tr w:rsidR="00D0075C" w:rsidRPr="00126932" w14:paraId="1917409B" w14:textId="77777777" w:rsidTr="008439EA">
        <w:tc>
          <w:tcPr>
            <w:tcW w:w="824" w:type="dxa"/>
            <w:vMerge/>
          </w:tcPr>
          <w:p w14:paraId="7C060D96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0F442AA2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45243522" w14:textId="4EFD018A" w:rsidR="00D0075C" w:rsidRPr="008439EA" w:rsidRDefault="00D0075C" w:rsidP="005A2AAB">
            <w:pPr>
              <w:pStyle w:val="Default"/>
              <w:rPr>
                <w:sz w:val="22"/>
                <w:szCs w:val="22"/>
              </w:rPr>
            </w:pPr>
            <w:r w:rsidRPr="008439EA">
              <w:rPr>
                <w:sz w:val="22"/>
                <w:szCs w:val="22"/>
              </w:rPr>
              <w:t xml:space="preserve">Student is able to apply exclusion principles based on state guidance for high-risk and sensitive settings.  </w:t>
            </w:r>
          </w:p>
        </w:tc>
      </w:tr>
      <w:tr w:rsidR="00D0075C" w:rsidRPr="00126932" w14:paraId="0F5BD606" w14:textId="77777777" w:rsidTr="008439EA">
        <w:tc>
          <w:tcPr>
            <w:tcW w:w="824" w:type="dxa"/>
            <w:vMerge/>
          </w:tcPr>
          <w:p w14:paraId="269C0C5B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4B92D467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5AEB48FC" w14:textId="44C9375A" w:rsidR="00D0075C" w:rsidRPr="008439EA" w:rsidRDefault="00D0075C" w:rsidP="005A2AAB">
            <w:pPr>
              <w:pStyle w:val="Default"/>
              <w:rPr>
                <w:sz w:val="22"/>
                <w:szCs w:val="22"/>
              </w:rPr>
            </w:pPr>
            <w:r w:rsidRPr="008439EA">
              <w:rPr>
                <w:sz w:val="22"/>
                <w:szCs w:val="22"/>
              </w:rPr>
              <w:t>Student has reviewed sample dialogues for initiating an interview based on the given scenario/with whom they are speaking</w:t>
            </w:r>
            <w:r w:rsidR="00C641CC">
              <w:rPr>
                <w:sz w:val="22"/>
                <w:szCs w:val="22"/>
              </w:rPr>
              <w:t xml:space="preserve"> </w:t>
            </w:r>
            <w:r w:rsidR="0048519D">
              <w:rPr>
                <w:sz w:val="22"/>
                <w:szCs w:val="22"/>
              </w:rPr>
              <w:t>during the</w:t>
            </w:r>
            <w:r w:rsidR="00C641CC">
              <w:rPr>
                <w:sz w:val="22"/>
                <w:szCs w:val="22"/>
              </w:rPr>
              <w:t xml:space="preserve"> interview</w:t>
            </w:r>
            <w:r w:rsidRPr="008439EA">
              <w:rPr>
                <w:sz w:val="22"/>
                <w:szCs w:val="22"/>
              </w:rPr>
              <w:t xml:space="preserve"> (i.e.,</w:t>
            </w:r>
            <w:r w:rsidR="008439EA" w:rsidRPr="008439EA">
              <w:rPr>
                <w:sz w:val="22"/>
                <w:szCs w:val="22"/>
              </w:rPr>
              <w:t xml:space="preserve"> </w:t>
            </w:r>
            <w:r w:rsidRPr="008439EA">
              <w:rPr>
                <w:sz w:val="22"/>
                <w:szCs w:val="22"/>
              </w:rPr>
              <w:t>case vs surrogate vs parent/guardian vs proxy)</w:t>
            </w:r>
            <w:r w:rsidR="00A67236" w:rsidRPr="008439EA">
              <w:rPr>
                <w:sz w:val="22"/>
                <w:szCs w:val="22"/>
              </w:rPr>
              <w:t>.</w:t>
            </w:r>
          </w:p>
        </w:tc>
      </w:tr>
      <w:tr w:rsidR="00D0075C" w:rsidRPr="00126932" w14:paraId="09F46A7D" w14:textId="77777777" w:rsidTr="008439EA">
        <w:tc>
          <w:tcPr>
            <w:tcW w:w="824" w:type="dxa"/>
            <w:vMerge/>
          </w:tcPr>
          <w:p w14:paraId="01682F3D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14E8F4D4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48052F4D" w14:textId="71CB835B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>Student is familiar with the disease-specific case investigation form and disease fact sheets.</w:t>
            </w:r>
          </w:p>
        </w:tc>
      </w:tr>
      <w:tr w:rsidR="00D0075C" w:rsidRPr="00126932" w14:paraId="169C23A6" w14:textId="721B542D" w:rsidTr="008439EA">
        <w:tc>
          <w:tcPr>
            <w:tcW w:w="824" w:type="dxa"/>
            <w:vMerge/>
          </w:tcPr>
          <w:p w14:paraId="17174244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7255EA2A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766A99C0" w14:textId="79C1BC89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>Student understands the processes to follow when attempting to reach cases (via phone calls, voicemail, and texts), including:</w:t>
            </w:r>
          </w:p>
          <w:p w14:paraId="50FADDFD" w14:textId="73E03960" w:rsidR="00D0075C" w:rsidRPr="008439EA" w:rsidRDefault="00D0075C" w:rsidP="005A2AA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>the number of times a case should be called</w:t>
            </w:r>
            <w:r w:rsidR="0048519D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598DEB6" w14:textId="11B0FF30" w:rsidR="00D0075C" w:rsidRPr="008439EA" w:rsidRDefault="00D0075C" w:rsidP="005A2AA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>time(s) of day to reach cases</w:t>
            </w:r>
            <w:r w:rsidR="0048519D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7AC97AF" w14:textId="36886D2A" w:rsidR="00D0075C" w:rsidRPr="008439EA" w:rsidRDefault="00D0075C" w:rsidP="005A2AA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>when to leave a voicemail or attempt text</w:t>
            </w:r>
            <w:r w:rsidR="0048519D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50547B0" w14:textId="2AD0AD2A" w:rsidR="00D0075C" w:rsidRPr="008439EA" w:rsidRDefault="00D0075C" w:rsidP="008439E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>what information to leave in a voicemail or text</w:t>
            </w:r>
            <w:r w:rsidR="0048519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0075C" w:rsidRPr="00126932" w14:paraId="2ADDC210" w14:textId="4E5FDF63" w:rsidTr="00B629EB">
        <w:trPr>
          <w:trHeight w:val="260"/>
        </w:trPr>
        <w:tc>
          <w:tcPr>
            <w:tcW w:w="824" w:type="dxa"/>
            <w:vMerge/>
          </w:tcPr>
          <w:p w14:paraId="7F1062AE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32A6A313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3DCADF1A" w14:textId="08F87E0B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 xml:space="preserve">Student understands how to schedule/reschedule an interview. </w:t>
            </w:r>
          </w:p>
        </w:tc>
      </w:tr>
      <w:tr w:rsidR="00D0075C" w:rsidRPr="00126932" w14:paraId="58F162A8" w14:textId="77777777" w:rsidTr="00B629EB">
        <w:trPr>
          <w:trHeight w:val="512"/>
        </w:trPr>
        <w:tc>
          <w:tcPr>
            <w:tcW w:w="824" w:type="dxa"/>
            <w:vMerge/>
          </w:tcPr>
          <w:p w14:paraId="1BEF6922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4AA0F566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1BF31ECD" w14:textId="1AE446D2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>Student is able to complete a case interview and understands which questions are required.</w:t>
            </w:r>
          </w:p>
        </w:tc>
      </w:tr>
      <w:tr w:rsidR="00D0075C" w:rsidRPr="00126932" w14:paraId="3A2333E6" w14:textId="77777777" w:rsidTr="00B629EB">
        <w:trPr>
          <w:trHeight w:val="512"/>
        </w:trPr>
        <w:tc>
          <w:tcPr>
            <w:tcW w:w="824" w:type="dxa"/>
            <w:vMerge/>
          </w:tcPr>
          <w:p w14:paraId="7DB1A7B4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237B9C81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582FBAEE" w14:textId="2C24F23D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>Student understands how to track and document the status of the interview request and attempts (i.e., pending, completed, refused).</w:t>
            </w:r>
          </w:p>
        </w:tc>
      </w:tr>
      <w:tr w:rsidR="00D0075C" w:rsidRPr="00126932" w14:paraId="6D350181" w14:textId="77777777" w:rsidTr="0048519D">
        <w:trPr>
          <w:trHeight w:val="1133"/>
        </w:trPr>
        <w:tc>
          <w:tcPr>
            <w:tcW w:w="824" w:type="dxa"/>
            <w:vMerge/>
          </w:tcPr>
          <w:p w14:paraId="406C175F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0DC95DA6" w14:textId="1162D3EA" w:rsidR="0048519D" w:rsidRPr="0048519D" w:rsidRDefault="0048519D" w:rsidP="004851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011A68D9" w14:textId="765D4B3D" w:rsidR="0048519D" w:rsidRPr="0048519D" w:rsidRDefault="00D0075C" w:rsidP="0048519D">
            <w:p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 xml:space="preserve">Student has completed mock interviews with other student team members or other staff.  Mock interviews should consist of examples the student may get in real life, including hard to interview </w:t>
            </w:r>
            <w:r w:rsidR="00C25BD4">
              <w:rPr>
                <w:rFonts w:ascii="Calibri" w:hAnsi="Calibri" w:cs="Calibri"/>
                <w:sz w:val="22"/>
                <w:szCs w:val="22"/>
              </w:rPr>
              <w:t xml:space="preserve">cases </w:t>
            </w:r>
            <w:r w:rsidRPr="008439EA">
              <w:rPr>
                <w:rFonts w:ascii="Calibri" w:hAnsi="Calibri" w:cs="Calibri"/>
                <w:sz w:val="22"/>
                <w:szCs w:val="22"/>
              </w:rPr>
              <w:t>(i.e., poor recall, angry, etc.), chatty cases, and cases who work in a sensitive setting to practice how to handle.</w:t>
            </w:r>
          </w:p>
        </w:tc>
      </w:tr>
      <w:tr w:rsidR="00201233" w:rsidRPr="00126932" w14:paraId="407149B3" w14:textId="77777777" w:rsidTr="00B629EB">
        <w:trPr>
          <w:trHeight w:val="1160"/>
        </w:trPr>
        <w:tc>
          <w:tcPr>
            <w:tcW w:w="824" w:type="dxa"/>
            <w:vMerge/>
          </w:tcPr>
          <w:p w14:paraId="33147518" w14:textId="77777777" w:rsidR="00201233" w:rsidRPr="008439EA" w:rsidRDefault="00201233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32DCF32F" w14:textId="77777777" w:rsidR="00201233" w:rsidRPr="008439EA" w:rsidRDefault="00201233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616A2744" w14:textId="6FABCB2F" w:rsidR="00201233" w:rsidRPr="008439EA" w:rsidRDefault="00201233" w:rsidP="005A2AAB">
            <w:p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>Student has reviewed all required interview examples</w:t>
            </w:r>
            <w:r w:rsidR="00337A2C">
              <w:rPr>
                <w:rFonts w:ascii="Calibri" w:hAnsi="Calibri" w:cs="Calibri"/>
                <w:sz w:val="22"/>
                <w:szCs w:val="22"/>
              </w:rPr>
              <w:t xml:space="preserve"> which</w:t>
            </w:r>
            <w:r w:rsidRPr="008439EA">
              <w:rPr>
                <w:rFonts w:ascii="Calibri" w:hAnsi="Calibri" w:cs="Calibri"/>
                <w:sz w:val="22"/>
                <w:szCs w:val="22"/>
              </w:rPr>
              <w:t xml:space="preserve"> demonstrate the interview process and provide tips for interviewing. (i.e., Colorado </w:t>
            </w:r>
            <w:r w:rsidR="00B92FBB" w:rsidRPr="008439EA">
              <w:rPr>
                <w:rFonts w:ascii="Calibri" w:hAnsi="Calibri" w:cs="Calibri"/>
                <w:sz w:val="22"/>
                <w:szCs w:val="22"/>
              </w:rPr>
              <w:t xml:space="preserve">video: </w:t>
            </w:r>
            <w:hyperlink r:id="rId12" w:history="1">
              <w:r w:rsidR="008439EA" w:rsidRPr="008439EA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https://www.youtube.com/watch?v=-uZsoal0by0</w:t>
              </w:r>
            </w:hyperlink>
            <w:r w:rsidRPr="008439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B92FBB" w:rsidRPr="008439EA">
              <w:rPr>
                <w:rFonts w:ascii="Calibri" w:hAnsi="Calibri" w:cs="Calibri"/>
                <w:sz w:val="22"/>
                <w:szCs w:val="22"/>
              </w:rPr>
              <w:t xml:space="preserve">Oregon video: </w:t>
            </w:r>
            <w:hyperlink r:id="rId13" w:history="1">
              <w:r w:rsidR="00B92FBB" w:rsidRPr="008439EA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https://www.youtube.com/watch?v=HNZm7z_JELw&amp;t=</w:t>
              </w:r>
            </w:hyperlink>
            <w:r w:rsidR="001B50DC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 )</w:t>
            </w:r>
          </w:p>
        </w:tc>
      </w:tr>
      <w:tr w:rsidR="00201233" w:rsidRPr="00126932" w14:paraId="057778E1" w14:textId="77777777" w:rsidTr="00B629EB">
        <w:trPr>
          <w:trHeight w:val="620"/>
        </w:trPr>
        <w:tc>
          <w:tcPr>
            <w:tcW w:w="824" w:type="dxa"/>
            <w:vMerge/>
          </w:tcPr>
          <w:p w14:paraId="4022280C" w14:textId="77777777" w:rsidR="00201233" w:rsidRPr="008439EA" w:rsidRDefault="00201233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79671FE2" w14:textId="77777777" w:rsidR="00201233" w:rsidRPr="008439EA" w:rsidRDefault="00201233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043F24E8" w14:textId="0120F1B5" w:rsidR="00201233" w:rsidRPr="008439EA" w:rsidRDefault="00201233" w:rsidP="005A2AAB">
            <w:p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>Student has reviewed any agency-specific required protocols not specifically mentioned above (</w:t>
            </w:r>
            <w:r w:rsidR="00DD2E0F" w:rsidRPr="008439EA">
              <w:rPr>
                <w:rFonts w:ascii="Calibri" w:hAnsi="Calibri" w:cs="Calibri"/>
                <w:sz w:val="22"/>
                <w:szCs w:val="22"/>
              </w:rPr>
              <w:t xml:space="preserve">i.e., </w:t>
            </w:r>
            <w:r w:rsidRPr="008439EA">
              <w:rPr>
                <w:rFonts w:ascii="Calibri" w:hAnsi="Calibri" w:cs="Calibri"/>
                <w:sz w:val="22"/>
                <w:szCs w:val="22"/>
              </w:rPr>
              <w:t>referrals to other departments)</w:t>
            </w:r>
            <w:r w:rsidR="00F453C8" w:rsidRPr="008439E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37A2C" w:rsidRPr="00126932" w14:paraId="1749CF5A" w14:textId="77777777" w:rsidTr="00B629EB">
        <w:trPr>
          <w:trHeight w:val="620"/>
        </w:trPr>
        <w:tc>
          <w:tcPr>
            <w:tcW w:w="824" w:type="dxa"/>
            <w:vMerge/>
          </w:tcPr>
          <w:p w14:paraId="61A8229E" w14:textId="77777777" w:rsidR="00337A2C" w:rsidRPr="008439EA" w:rsidRDefault="00337A2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0A44E237" w14:textId="77777777" w:rsidR="00337A2C" w:rsidRPr="008439EA" w:rsidRDefault="00337A2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0FA71127" w14:textId="6F79B47D" w:rsidR="00337A2C" w:rsidRPr="008439EA" w:rsidRDefault="00337A2C" w:rsidP="005A2A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Student understands what to do if there are concerns abou</w:t>
            </w:r>
            <w:r w:rsidR="00120614"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the health or safety of the individual being interviewed or others in the household.</w:t>
            </w:r>
          </w:p>
        </w:tc>
      </w:tr>
      <w:tr w:rsidR="00D0075C" w:rsidRPr="00126932" w14:paraId="34042C4C" w14:textId="77777777" w:rsidTr="00B629EB">
        <w:trPr>
          <w:trHeight w:val="530"/>
        </w:trPr>
        <w:tc>
          <w:tcPr>
            <w:tcW w:w="824" w:type="dxa"/>
            <w:vMerge/>
          </w:tcPr>
          <w:p w14:paraId="07663DFD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7864D24C" w14:textId="77777777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4EE4A113" w14:textId="30CAA1C2" w:rsidR="00D0075C" w:rsidRPr="008439EA" w:rsidRDefault="00D0075C" w:rsidP="005A2AAB">
            <w:p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sz w:val="22"/>
                <w:szCs w:val="22"/>
              </w:rPr>
              <w:t xml:space="preserve">Student </w:t>
            </w:r>
            <w:r w:rsidRPr="008439EA">
              <w:rPr>
                <w:rFonts w:ascii="Calibri" w:hAnsi="Calibri" w:cs="Calibri"/>
                <w:sz w:val="22"/>
                <w:szCs w:val="22"/>
              </w:rPr>
              <w:t>is aware of how to contact necessary staff involved in case investigation for questions/technical assistance/follow-up.</w:t>
            </w:r>
          </w:p>
        </w:tc>
      </w:tr>
      <w:tr w:rsidR="005A2AAB" w:rsidRPr="00126932" w14:paraId="430A1A99" w14:textId="77777777" w:rsidTr="00B629EB">
        <w:trPr>
          <w:cantSplit/>
          <w:trHeight w:val="863"/>
        </w:trPr>
        <w:tc>
          <w:tcPr>
            <w:tcW w:w="824" w:type="dxa"/>
            <w:vMerge w:val="restart"/>
            <w:textDirection w:val="btLr"/>
          </w:tcPr>
          <w:p w14:paraId="2887A42F" w14:textId="423A5730" w:rsidR="005A2AAB" w:rsidRPr="008439EA" w:rsidRDefault="005A2AAB" w:rsidP="005A2AAB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b/>
                <w:bCs/>
                <w:sz w:val="22"/>
                <w:szCs w:val="22"/>
              </w:rPr>
              <w:t>Interview Completion</w:t>
            </w:r>
          </w:p>
        </w:tc>
        <w:tc>
          <w:tcPr>
            <w:tcW w:w="1336" w:type="dxa"/>
          </w:tcPr>
          <w:p w14:paraId="76B27A55" w14:textId="77777777" w:rsidR="005A2AAB" w:rsidRPr="008439EA" w:rsidRDefault="005A2AAB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380C1839" w14:textId="443DD2C0" w:rsidR="005A2AAB" w:rsidRPr="008439EA" w:rsidRDefault="005A2AAB" w:rsidP="005A2AAB">
            <w:p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 xml:space="preserve">Once the interview is successfully completed, the student understands how to </w:t>
            </w:r>
            <w:r w:rsidR="00007C0F" w:rsidRPr="008439EA">
              <w:rPr>
                <w:rFonts w:ascii="Calibri" w:hAnsi="Calibri" w:cs="Calibri"/>
                <w:sz w:val="22"/>
                <w:szCs w:val="22"/>
              </w:rPr>
              <w:t>save/</w:t>
            </w:r>
            <w:r w:rsidRPr="008439EA">
              <w:rPr>
                <w:rFonts w:ascii="Calibri" w:hAnsi="Calibri" w:cs="Calibri"/>
                <w:sz w:val="22"/>
                <w:szCs w:val="22"/>
              </w:rPr>
              <w:t xml:space="preserve">update the </w:t>
            </w:r>
            <w:r w:rsidR="0087568B" w:rsidRPr="008439EA">
              <w:rPr>
                <w:rFonts w:ascii="Calibri" w:hAnsi="Calibri" w:cs="Calibri"/>
                <w:sz w:val="22"/>
                <w:szCs w:val="22"/>
              </w:rPr>
              <w:t xml:space="preserve">record in the </w:t>
            </w:r>
            <w:r w:rsidRPr="008439EA">
              <w:rPr>
                <w:rFonts w:ascii="Calibri" w:hAnsi="Calibri" w:cs="Calibri"/>
                <w:sz w:val="22"/>
                <w:szCs w:val="22"/>
              </w:rPr>
              <w:t>communicable disease electronic reporting system</w:t>
            </w:r>
            <w:r w:rsidR="00CC1F52" w:rsidRPr="008439EA">
              <w:rPr>
                <w:rFonts w:ascii="Calibri" w:hAnsi="Calibri" w:cs="Calibri"/>
                <w:sz w:val="22"/>
                <w:szCs w:val="22"/>
              </w:rPr>
              <w:t xml:space="preserve"> be</w:t>
            </w:r>
            <w:r w:rsidR="00511B4E" w:rsidRPr="008439EA">
              <w:rPr>
                <w:rFonts w:ascii="Calibri" w:hAnsi="Calibri" w:cs="Calibri"/>
                <w:sz w:val="22"/>
                <w:szCs w:val="22"/>
              </w:rPr>
              <w:t xml:space="preserve">ing </w:t>
            </w:r>
            <w:r w:rsidR="00CC1F52" w:rsidRPr="008439EA">
              <w:rPr>
                <w:rFonts w:ascii="Calibri" w:hAnsi="Calibri" w:cs="Calibri"/>
                <w:sz w:val="22"/>
                <w:szCs w:val="22"/>
              </w:rPr>
              <w:t>utilized.</w:t>
            </w:r>
          </w:p>
        </w:tc>
      </w:tr>
      <w:tr w:rsidR="005A2AAB" w:rsidRPr="00126932" w14:paraId="031B06C4" w14:textId="77777777" w:rsidTr="008439EA">
        <w:trPr>
          <w:cantSplit/>
          <w:trHeight w:val="890"/>
        </w:trPr>
        <w:tc>
          <w:tcPr>
            <w:tcW w:w="824" w:type="dxa"/>
            <w:vMerge/>
            <w:textDirection w:val="btLr"/>
          </w:tcPr>
          <w:p w14:paraId="7D6A5EF1" w14:textId="77777777" w:rsidR="005A2AAB" w:rsidRPr="008439EA" w:rsidRDefault="005A2AAB" w:rsidP="005A2AAB">
            <w:pPr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74C93032" w14:textId="77777777" w:rsidR="005A2AAB" w:rsidRPr="008439EA" w:rsidRDefault="005A2AAB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654AD6B0" w14:textId="67E55B48" w:rsidR="005A2AAB" w:rsidRPr="008439EA" w:rsidRDefault="005A2AAB" w:rsidP="005A2AAB">
            <w:p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 xml:space="preserve">If the interview is unable to be completed, the student understands how to </w:t>
            </w:r>
            <w:r w:rsidR="00007C0F" w:rsidRPr="008439EA">
              <w:rPr>
                <w:rFonts w:ascii="Calibri" w:hAnsi="Calibri" w:cs="Calibri"/>
                <w:sz w:val="22"/>
                <w:szCs w:val="22"/>
              </w:rPr>
              <w:t>save/</w:t>
            </w:r>
            <w:r w:rsidRPr="008439EA">
              <w:rPr>
                <w:rFonts w:ascii="Calibri" w:hAnsi="Calibri" w:cs="Calibri"/>
                <w:sz w:val="22"/>
                <w:szCs w:val="22"/>
              </w:rPr>
              <w:t>update the</w:t>
            </w:r>
            <w:r w:rsidR="00007C0F" w:rsidRPr="008439EA">
              <w:rPr>
                <w:rFonts w:ascii="Calibri" w:hAnsi="Calibri" w:cs="Calibri"/>
                <w:sz w:val="22"/>
                <w:szCs w:val="22"/>
              </w:rPr>
              <w:t xml:space="preserve"> record </w:t>
            </w:r>
            <w:r w:rsidR="00EF3D8F" w:rsidRPr="008439EA">
              <w:rPr>
                <w:rFonts w:ascii="Calibri" w:hAnsi="Calibri" w:cs="Calibri"/>
                <w:sz w:val="22"/>
                <w:szCs w:val="22"/>
              </w:rPr>
              <w:t>in the</w:t>
            </w:r>
            <w:r w:rsidRPr="008439EA">
              <w:rPr>
                <w:rFonts w:ascii="Calibri" w:hAnsi="Calibri" w:cs="Calibri"/>
                <w:sz w:val="22"/>
                <w:szCs w:val="22"/>
              </w:rPr>
              <w:t xml:space="preserve"> communicable disease electronic reporting system</w:t>
            </w:r>
            <w:r w:rsidRPr="008439EA" w:rsidDel="00A346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C1F52" w:rsidRPr="008439EA">
              <w:rPr>
                <w:rFonts w:ascii="Calibri" w:hAnsi="Calibri" w:cs="Calibri"/>
                <w:sz w:val="22"/>
                <w:szCs w:val="22"/>
              </w:rPr>
              <w:t>utilized</w:t>
            </w:r>
            <w:r w:rsidR="00426488" w:rsidRPr="008439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8439EA">
              <w:rPr>
                <w:rFonts w:ascii="Calibri" w:hAnsi="Calibri" w:cs="Calibri"/>
                <w:sz w:val="22"/>
                <w:szCs w:val="22"/>
              </w:rPr>
              <w:t>indicating the case is lost to follow up.</w:t>
            </w:r>
          </w:p>
        </w:tc>
      </w:tr>
      <w:tr w:rsidR="005A2AAB" w:rsidRPr="00126932" w14:paraId="40024BA6" w14:textId="77777777" w:rsidTr="008439EA">
        <w:trPr>
          <w:cantSplit/>
          <w:trHeight w:val="620"/>
        </w:trPr>
        <w:tc>
          <w:tcPr>
            <w:tcW w:w="824" w:type="dxa"/>
            <w:vMerge/>
            <w:textDirection w:val="btLr"/>
          </w:tcPr>
          <w:p w14:paraId="30523192" w14:textId="77777777" w:rsidR="005A2AAB" w:rsidRPr="008439EA" w:rsidRDefault="005A2AAB" w:rsidP="005A2AAB">
            <w:pPr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5C447080" w14:textId="77777777" w:rsidR="005A2AAB" w:rsidRPr="008439EA" w:rsidRDefault="005A2AAB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489CBCC2" w14:textId="53311A3F" w:rsidR="005A2AAB" w:rsidRPr="008439EA" w:rsidRDefault="005A2AAB" w:rsidP="005A2AAB">
            <w:p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>Student understands how to notify supervisor(s) and/or local or regional public health partners when a case interview is complete.</w:t>
            </w:r>
          </w:p>
        </w:tc>
      </w:tr>
      <w:tr w:rsidR="005A2AAB" w:rsidRPr="00126932" w14:paraId="7DEA6B10" w14:textId="77777777" w:rsidTr="008439EA">
        <w:trPr>
          <w:cantSplit/>
          <w:trHeight w:val="620"/>
        </w:trPr>
        <w:tc>
          <w:tcPr>
            <w:tcW w:w="824" w:type="dxa"/>
            <w:vMerge/>
            <w:textDirection w:val="btLr"/>
          </w:tcPr>
          <w:p w14:paraId="2634470C" w14:textId="77777777" w:rsidR="005A2AAB" w:rsidRPr="008439EA" w:rsidRDefault="005A2AAB" w:rsidP="005A2AAB">
            <w:pPr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3E9664C3" w14:textId="77777777" w:rsidR="005A2AAB" w:rsidRPr="008439EA" w:rsidRDefault="005A2AAB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2AA458AB" w14:textId="7B2DFE22" w:rsidR="005A2AAB" w:rsidRPr="008439EA" w:rsidRDefault="005A2AAB" w:rsidP="005A2AAB">
            <w:p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>Student knows how to save and store the finished paper-based interview form, if applicable</w:t>
            </w:r>
            <w:r w:rsidR="009912F5" w:rsidRPr="008439EA">
              <w:rPr>
                <w:rFonts w:ascii="Calibri" w:hAnsi="Calibri" w:cs="Calibri"/>
                <w:sz w:val="22"/>
                <w:szCs w:val="22"/>
              </w:rPr>
              <w:t>.</w:t>
            </w:r>
            <w:r w:rsidRPr="008439E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5A2AAB" w:rsidRPr="00126932" w14:paraId="65AFF67A" w14:textId="77777777" w:rsidTr="008439EA">
        <w:trPr>
          <w:cantSplit/>
          <w:trHeight w:val="620"/>
        </w:trPr>
        <w:tc>
          <w:tcPr>
            <w:tcW w:w="824" w:type="dxa"/>
            <w:vMerge/>
            <w:textDirection w:val="btLr"/>
          </w:tcPr>
          <w:p w14:paraId="4D19199B" w14:textId="77777777" w:rsidR="005A2AAB" w:rsidRPr="008439EA" w:rsidRDefault="005A2AAB" w:rsidP="005A2AAB">
            <w:pPr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56F83236" w14:textId="77777777" w:rsidR="005A2AAB" w:rsidRPr="008439EA" w:rsidRDefault="005A2AAB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0AAB38D5" w14:textId="3F0D31E0" w:rsidR="005A2AAB" w:rsidRPr="008439EA" w:rsidRDefault="005A2AAB" w:rsidP="005A2AAB">
            <w:p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 xml:space="preserve">Student understands how to perform checks for missed interview requests, based on </w:t>
            </w:r>
            <w:r w:rsidR="009912F5" w:rsidRPr="008439EA">
              <w:rPr>
                <w:rFonts w:ascii="Calibri" w:hAnsi="Calibri" w:cs="Calibri"/>
                <w:sz w:val="22"/>
                <w:szCs w:val="22"/>
              </w:rPr>
              <w:t xml:space="preserve">the communicable disease electronic </w:t>
            </w:r>
            <w:proofErr w:type="gramStart"/>
            <w:r w:rsidR="009912F5" w:rsidRPr="008439EA">
              <w:rPr>
                <w:rFonts w:ascii="Calibri" w:hAnsi="Calibri" w:cs="Calibri"/>
                <w:sz w:val="22"/>
                <w:szCs w:val="22"/>
              </w:rPr>
              <w:t>reporting</w:t>
            </w:r>
            <w:proofErr w:type="gramEnd"/>
            <w:r w:rsidR="00B92FBB" w:rsidRPr="008439EA">
              <w:rPr>
                <w:rFonts w:ascii="Calibri" w:hAnsi="Calibri" w:cs="Calibri"/>
                <w:sz w:val="22"/>
                <w:szCs w:val="22"/>
              </w:rPr>
              <w:t xml:space="preserve"> or tracking </w:t>
            </w:r>
            <w:r w:rsidRPr="008439EA">
              <w:rPr>
                <w:rFonts w:ascii="Calibri" w:hAnsi="Calibri" w:cs="Calibri"/>
                <w:sz w:val="22"/>
                <w:szCs w:val="22"/>
              </w:rPr>
              <w:t>system utilized</w:t>
            </w:r>
            <w:r w:rsidR="009912F5" w:rsidRPr="008439E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5A2AAB" w:rsidRPr="00126932" w14:paraId="061971E2" w14:textId="77777777" w:rsidTr="00B629EB">
        <w:trPr>
          <w:cantSplit/>
          <w:trHeight w:val="350"/>
        </w:trPr>
        <w:tc>
          <w:tcPr>
            <w:tcW w:w="824" w:type="dxa"/>
            <w:vMerge w:val="restart"/>
            <w:textDirection w:val="btLr"/>
          </w:tcPr>
          <w:p w14:paraId="0514C085" w14:textId="64EBD1A4" w:rsidR="005A2AAB" w:rsidRPr="008439EA" w:rsidRDefault="005A2AAB" w:rsidP="005A2AA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439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Outbreak or Cluster Interview </w:t>
            </w:r>
          </w:p>
        </w:tc>
        <w:tc>
          <w:tcPr>
            <w:tcW w:w="1336" w:type="dxa"/>
          </w:tcPr>
          <w:p w14:paraId="082A7281" w14:textId="77777777" w:rsidR="005A2AAB" w:rsidRPr="008439EA" w:rsidRDefault="005A2AAB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5F777D94" w14:textId="45D668E1" w:rsidR="005A2AAB" w:rsidRPr="008439EA" w:rsidRDefault="005A2AAB" w:rsidP="005A2AAB">
            <w:p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>Student is able to retrieve and assign outbreak-interview requests.</w:t>
            </w:r>
          </w:p>
        </w:tc>
      </w:tr>
      <w:tr w:rsidR="005A2AAB" w:rsidRPr="00126932" w14:paraId="3501828E" w14:textId="77777777" w:rsidTr="00B629EB">
        <w:trPr>
          <w:cantSplit/>
          <w:trHeight w:val="557"/>
        </w:trPr>
        <w:tc>
          <w:tcPr>
            <w:tcW w:w="824" w:type="dxa"/>
            <w:vMerge/>
            <w:textDirection w:val="btLr"/>
          </w:tcPr>
          <w:p w14:paraId="2DEAAC20" w14:textId="77777777" w:rsidR="005A2AAB" w:rsidRPr="008439EA" w:rsidRDefault="005A2AAB" w:rsidP="005A2AAB">
            <w:pPr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1EDA1AA6" w14:textId="77777777" w:rsidR="005A2AAB" w:rsidRPr="008439EA" w:rsidRDefault="005A2AAB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303D26AD" w14:textId="00E279C7" w:rsidR="005A2AAB" w:rsidRPr="008439EA" w:rsidRDefault="005A2AAB" w:rsidP="005A2AAB">
            <w:p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>Student understands how to track and document the status of the outbreak-interview request and attempts/outcome.</w:t>
            </w:r>
          </w:p>
        </w:tc>
      </w:tr>
      <w:tr w:rsidR="005A2AAB" w:rsidRPr="00126932" w14:paraId="677D6925" w14:textId="77777777" w:rsidTr="00B629EB">
        <w:trPr>
          <w:cantSplit/>
          <w:trHeight w:val="863"/>
        </w:trPr>
        <w:tc>
          <w:tcPr>
            <w:tcW w:w="824" w:type="dxa"/>
            <w:vMerge/>
            <w:textDirection w:val="btLr"/>
          </w:tcPr>
          <w:p w14:paraId="3FABBBD8" w14:textId="77777777" w:rsidR="005A2AAB" w:rsidRPr="008439EA" w:rsidRDefault="005A2AAB" w:rsidP="005A2AAB">
            <w:pPr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3A521EEB" w14:textId="77777777" w:rsidR="005A2AAB" w:rsidRPr="008439EA" w:rsidRDefault="005A2AAB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7B78E1DA" w14:textId="0E6E4712" w:rsidR="005A2AAB" w:rsidRPr="008439EA" w:rsidRDefault="005A2AAB" w:rsidP="005A2AA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39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Student </w:t>
            </w:r>
            <w:r w:rsidRPr="008439EA">
              <w:rPr>
                <w:rFonts w:ascii="Calibri" w:hAnsi="Calibri" w:cs="Calibri"/>
                <w:sz w:val="22"/>
                <w:szCs w:val="22"/>
              </w:rPr>
              <w:t xml:space="preserve">is able to complete a case interview using the </w:t>
            </w:r>
            <w:r w:rsidRPr="008439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outbreak questionnaire or NHGQ and </w:t>
            </w:r>
            <w:r w:rsidRPr="008439EA">
              <w:rPr>
                <w:rFonts w:ascii="Calibri" w:hAnsi="Calibri" w:cs="Calibri"/>
                <w:sz w:val="22"/>
                <w:szCs w:val="22"/>
              </w:rPr>
              <w:t xml:space="preserve">understands that all questions must have a documented answer; they are aware to enter the </w:t>
            </w:r>
            <w:r w:rsidRPr="008439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correct number for the </w:t>
            </w:r>
            <w:r w:rsidRPr="008439E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PulseNet ID</w:t>
            </w:r>
            <w:r w:rsidRPr="008439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r w:rsidRPr="008439E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State ID</w:t>
            </w:r>
            <w:r w:rsidRPr="008439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5A2AAB" w:rsidRPr="00126932" w14:paraId="4269E4AF" w14:textId="77777777" w:rsidTr="00B629EB">
        <w:trPr>
          <w:cantSplit/>
          <w:trHeight w:val="620"/>
        </w:trPr>
        <w:tc>
          <w:tcPr>
            <w:tcW w:w="824" w:type="dxa"/>
            <w:vMerge/>
            <w:textDirection w:val="btLr"/>
          </w:tcPr>
          <w:p w14:paraId="5FD1DF5B" w14:textId="77777777" w:rsidR="005A2AAB" w:rsidRPr="008439EA" w:rsidRDefault="005A2AAB" w:rsidP="005A2AAB">
            <w:pPr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11728957" w14:textId="77777777" w:rsidR="005A2AAB" w:rsidRPr="008439EA" w:rsidRDefault="005A2AAB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720B9BEE" w14:textId="70DC5A06" w:rsidR="005A2AAB" w:rsidRPr="008439EA" w:rsidRDefault="005A2AAB" w:rsidP="005A2AAB">
            <w:pPr>
              <w:rPr>
                <w:rFonts w:ascii="Calibri" w:hAnsi="Calibri" w:cs="Calibri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>Following interview completion, student understands how to update final outcome of the outbreak interview.</w:t>
            </w:r>
          </w:p>
        </w:tc>
      </w:tr>
      <w:tr w:rsidR="005A2AAB" w:rsidRPr="00126932" w14:paraId="1351B483" w14:textId="77777777" w:rsidTr="008439EA">
        <w:trPr>
          <w:cantSplit/>
          <w:trHeight w:val="620"/>
        </w:trPr>
        <w:tc>
          <w:tcPr>
            <w:tcW w:w="824" w:type="dxa"/>
            <w:vMerge/>
            <w:textDirection w:val="btLr"/>
          </w:tcPr>
          <w:p w14:paraId="7E697F8B" w14:textId="77777777" w:rsidR="005A2AAB" w:rsidRPr="008439EA" w:rsidRDefault="005A2AAB" w:rsidP="005A2AAB">
            <w:pPr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304EFC58" w14:textId="77777777" w:rsidR="005A2AAB" w:rsidRPr="008439EA" w:rsidRDefault="005A2AAB" w:rsidP="005A2A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0" w:type="dxa"/>
          </w:tcPr>
          <w:p w14:paraId="613397C1" w14:textId="04B6E111" w:rsidR="005A2AAB" w:rsidRPr="008439EA" w:rsidRDefault="005A2AAB" w:rsidP="005A2AA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39EA">
              <w:rPr>
                <w:rFonts w:ascii="Calibri" w:hAnsi="Calibri" w:cs="Calibri"/>
                <w:sz w:val="22"/>
                <w:szCs w:val="22"/>
              </w:rPr>
              <w:t>Following interview completion, student understands how to transmit the questionnaire to staff handling the outbreak investigation</w:t>
            </w:r>
            <w:r w:rsidR="009076CE" w:rsidRPr="008439E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49C23FE3" w14:textId="49E0BDF5" w:rsidR="00E7729C" w:rsidRPr="00126932" w:rsidRDefault="00E7729C" w:rsidP="008439EA">
      <w:pPr>
        <w:rPr>
          <w:rFonts w:ascii="Calibri" w:hAnsi="Calibri" w:cs="Calibri"/>
        </w:rPr>
      </w:pPr>
    </w:p>
    <w:sectPr w:rsidR="00E7729C" w:rsidRPr="00126932" w:rsidSect="00680EC0">
      <w:footerReference w:type="default" r:id="rId14"/>
      <w:pgSz w:w="12240" w:h="15840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18A8" w14:textId="77777777" w:rsidR="004D526F" w:rsidRDefault="004D526F" w:rsidP="00C0620E">
      <w:r>
        <w:separator/>
      </w:r>
    </w:p>
  </w:endnote>
  <w:endnote w:type="continuationSeparator" w:id="0">
    <w:p w14:paraId="23DD12DE" w14:textId="77777777" w:rsidR="004D526F" w:rsidRDefault="004D526F" w:rsidP="00C0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B687" w14:textId="65D88676" w:rsidR="00A01BE3" w:rsidRPr="00680EC0" w:rsidRDefault="00680EC0" w:rsidP="00A01BE3">
    <w:pPr>
      <w:rPr>
        <w:rFonts w:cstheme="minorHAnsi"/>
        <w:b/>
        <w:bCs/>
        <w:sz w:val="20"/>
        <w:szCs w:val="20"/>
      </w:rPr>
    </w:pPr>
    <w:r w:rsidRPr="00680EC0">
      <w:rPr>
        <w:rFonts w:cstheme="minorHAnsi"/>
        <w:b/>
        <w:bCs/>
        <w:sz w:val="20"/>
        <w:szCs w:val="20"/>
      </w:rPr>
      <w:t>There may be other considerations based on your own agency policies. We recommend you</w:t>
    </w:r>
    <w:r w:rsidR="00A01BE3" w:rsidRPr="00680EC0">
      <w:rPr>
        <w:rFonts w:cstheme="minorHAnsi"/>
        <w:b/>
        <w:bCs/>
        <w:sz w:val="20"/>
        <w:szCs w:val="20"/>
      </w:rPr>
      <w:t xml:space="preserve"> </w:t>
    </w:r>
    <w:r w:rsidRPr="00680EC0">
      <w:rPr>
        <w:rFonts w:cstheme="minorHAnsi"/>
        <w:b/>
        <w:bCs/>
        <w:sz w:val="20"/>
        <w:szCs w:val="20"/>
      </w:rPr>
      <w:t>modify this template</w:t>
    </w:r>
    <w:r>
      <w:rPr>
        <w:rFonts w:cstheme="minorHAnsi"/>
        <w:b/>
        <w:bCs/>
        <w:sz w:val="20"/>
        <w:szCs w:val="20"/>
      </w:rPr>
      <w:t xml:space="preserve"> </w:t>
    </w:r>
    <w:r w:rsidRPr="00680EC0">
      <w:rPr>
        <w:rFonts w:cstheme="minorHAnsi"/>
        <w:b/>
        <w:bCs/>
        <w:sz w:val="20"/>
        <w:szCs w:val="20"/>
      </w:rPr>
      <w:t xml:space="preserve">in accordance with </w:t>
    </w:r>
    <w:r w:rsidR="00A01BE3" w:rsidRPr="00680EC0">
      <w:rPr>
        <w:rFonts w:cstheme="minorHAnsi"/>
        <w:b/>
        <w:bCs/>
        <w:sz w:val="20"/>
        <w:szCs w:val="20"/>
      </w:rPr>
      <w:t>protocol</w:t>
    </w:r>
    <w:r w:rsidRPr="00680EC0">
      <w:rPr>
        <w:rFonts w:cstheme="minorHAnsi"/>
        <w:b/>
        <w:bCs/>
        <w:sz w:val="20"/>
        <w:szCs w:val="20"/>
      </w:rPr>
      <w:t>s</w:t>
    </w:r>
    <w:r w:rsidR="00A01BE3" w:rsidRPr="00680EC0">
      <w:rPr>
        <w:rFonts w:cstheme="minorHAnsi"/>
        <w:b/>
        <w:bCs/>
        <w:sz w:val="20"/>
        <w:szCs w:val="20"/>
      </w:rPr>
      <w:t xml:space="preserve"> for surveillance systems and process</w:t>
    </w:r>
    <w:r w:rsidRPr="00680EC0">
      <w:rPr>
        <w:rFonts w:cstheme="minorHAnsi"/>
        <w:b/>
        <w:bCs/>
        <w:sz w:val="20"/>
        <w:szCs w:val="20"/>
      </w:rPr>
      <w:t xml:space="preserve"> </w:t>
    </w:r>
    <w:r w:rsidR="00A01BE3" w:rsidRPr="00680EC0">
      <w:rPr>
        <w:rFonts w:cstheme="minorHAnsi"/>
        <w:b/>
        <w:bCs/>
        <w:sz w:val="20"/>
        <w:szCs w:val="20"/>
      </w:rPr>
      <w:t xml:space="preserve">specific to </w:t>
    </w:r>
    <w:r w:rsidRPr="00680EC0">
      <w:rPr>
        <w:rFonts w:cstheme="minorHAnsi"/>
        <w:b/>
        <w:bCs/>
        <w:sz w:val="20"/>
        <w:szCs w:val="20"/>
      </w:rPr>
      <w:t>your state/jurisdiction.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59C1" w14:textId="77777777" w:rsidR="004D526F" w:rsidRDefault="004D526F" w:rsidP="00C0620E">
      <w:r>
        <w:separator/>
      </w:r>
    </w:p>
  </w:footnote>
  <w:footnote w:type="continuationSeparator" w:id="0">
    <w:p w14:paraId="39CFF04E" w14:textId="77777777" w:rsidR="004D526F" w:rsidRDefault="004D526F" w:rsidP="00C06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145"/>
    <w:multiLevelType w:val="hybridMultilevel"/>
    <w:tmpl w:val="E03CF4B2"/>
    <w:lvl w:ilvl="0" w:tplc="0409000D">
      <w:start w:val="1"/>
      <w:numFmt w:val="bullet"/>
      <w:lvlText w:val=""/>
      <w:lvlJc w:val="left"/>
      <w:pPr>
        <w:ind w:left="3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 w15:restartNumberingAfterBreak="0">
    <w:nsid w:val="15301674"/>
    <w:multiLevelType w:val="hybridMultilevel"/>
    <w:tmpl w:val="1C5AF1A6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5C9A3973"/>
    <w:multiLevelType w:val="hybridMultilevel"/>
    <w:tmpl w:val="733C56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00"/>
    <w:rsid w:val="00007C0F"/>
    <w:rsid w:val="000276F3"/>
    <w:rsid w:val="000836D0"/>
    <w:rsid w:val="000866DA"/>
    <w:rsid w:val="00090C50"/>
    <w:rsid w:val="000D1438"/>
    <w:rsid w:val="0010664B"/>
    <w:rsid w:val="00120614"/>
    <w:rsid w:val="00121703"/>
    <w:rsid w:val="00126932"/>
    <w:rsid w:val="001635A9"/>
    <w:rsid w:val="001700E9"/>
    <w:rsid w:val="00182C22"/>
    <w:rsid w:val="00186279"/>
    <w:rsid w:val="00196FAB"/>
    <w:rsid w:val="001B50DC"/>
    <w:rsid w:val="001F287B"/>
    <w:rsid w:val="00201233"/>
    <w:rsid w:val="002204E8"/>
    <w:rsid w:val="00227C77"/>
    <w:rsid w:val="00257489"/>
    <w:rsid w:val="00261B01"/>
    <w:rsid w:val="002807E2"/>
    <w:rsid w:val="002C20B6"/>
    <w:rsid w:val="002D5BCA"/>
    <w:rsid w:val="00337A2C"/>
    <w:rsid w:val="00354E51"/>
    <w:rsid w:val="00361940"/>
    <w:rsid w:val="0036401A"/>
    <w:rsid w:val="00393A0B"/>
    <w:rsid w:val="003B1251"/>
    <w:rsid w:val="003B761B"/>
    <w:rsid w:val="003F695D"/>
    <w:rsid w:val="0040108F"/>
    <w:rsid w:val="00405ADF"/>
    <w:rsid w:val="00411063"/>
    <w:rsid w:val="00423D99"/>
    <w:rsid w:val="00426488"/>
    <w:rsid w:val="00436414"/>
    <w:rsid w:val="00461896"/>
    <w:rsid w:val="00480DBF"/>
    <w:rsid w:val="00481E92"/>
    <w:rsid w:val="0048519D"/>
    <w:rsid w:val="0048592F"/>
    <w:rsid w:val="004944D1"/>
    <w:rsid w:val="004969E6"/>
    <w:rsid w:val="004B4DE4"/>
    <w:rsid w:val="004D526F"/>
    <w:rsid w:val="004E1298"/>
    <w:rsid w:val="004E2779"/>
    <w:rsid w:val="00511B4E"/>
    <w:rsid w:val="00512230"/>
    <w:rsid w:val="0053222E"/>
    <w:rsid w:val="00561C81"/>
    <w:rsid w:val="00586173"/>
    <w:rsid w:val="005A2AAB"/>
    <w:rsid w:val="005A7934"/>
    <w:rsid w:val="005E3415"/>
    <w:rsid w:val="0062356A"/>
    <w:rsid w:val="0065517B"/>
    <w:rsid w:val="00666BDE"/>
    <w:rsid w:val="00680EC0"/>
    <w:rsid w:val="00684CC4"/>
    <w:rsid w:val="00687D4F"/>
    <w:rsid w:val="006F2EC7"/>
    <w:rsid w:val="00727625"/>
    <w:rsid w:val="007A7286"/>
    <w:rsid w:val="007C6213"/>
    <w:rsid w:val="007C63F9"/>
    <w:rsid w:val="007E1F33"/>
    <w:rsid w:val="008079D4"/>
    <w:rsid w:val="00822BE4"/>
    <w:rsid w:val="0082324B"/>
    <w:rsid w:val="00830839"/>
    <w:rsid w:val="008439EA"/>
    <w:rsid w:val="0087568B"/>
    <w:rsid w:val="00877145"/>
    <w:rsid w:val="00880E88"/>
    <w:rsid w:val="00892BE4"/>
    <w:rsid w:val="00897797"/>
    <w:rsid w:val="008B264E"/>
    <w:rsid w:val="008D46D0"/>
    <w:rsid w:val="008D628B"/>
    <w:rsid w:val="009038F1"/>
    <w:rsid w:val="009076CE"/>
    <w:rsid w:val="00912BDE"/>
    <w:rsid w:val="00945EFA"/>
    <w:rsid w:val="0095252A"/>
    <w:rsid w:val="0095365E"/>
    <w:rsid w:val="009676D1"/>
    <w:rsid w:val="00974CA2"/>
    <w:rsid w:val="009912F5"/>
    <w:rsid w:val="00994328"/>
    <w:rsid w:val="00994D26"/>
    <w:rsid w:val="00996CED"/>
    <w:rsid w:val="009A288F"/>
    <w:rsid w:val="009A5D15"/>
    <w:rsid w:val="009E1702"/>
    <w:rsid w:val="009F1826"/>
    <w:rsid w:val="00A01BE3"/>
    <w:rsid w:val="00A04D5A"/>
    <w:rsid w:val="00A34668"/>
    <w:rsid w:val="00A355D8"/>
    <w:rsid w:val="00A4116E"/>
    <w:rsid w:val="00A43DF4"/>
    <w:rsid w:val="00A469BE"/>
    <w:rsid w:val="00A54F9D"/>
    <w:rsid w:val="00A620E5"/>
    <w:rsid w:val="00A67236"/>
    <w:rsid w:val="00A86AA7"/>
    <w:rsid w:val="00AB4A12"/>
    <w:rsid w:val="00AD7785"/>
    <w:rsid w:val="00B01953"/>
    <w:rsid w:val="00B025BD"/>
    <w:rsid w:val="00B30488"/>
    <w:rsid w:val="00B31AE9"/>
    <w:rsid w:val="00B323FF"/>
    <w:rsid w:val="00B3347D"/>
    <w:rsid w:val="00B629EB"/>
    <w:rsid w:val="00B6710F"/>
    <w:rsid w:val="00B83B7C"/>
    <w:rsid w:val="00B92FBB"/>
    <w:rsid w:val="00B946EB"/>
    <w:rsid w:val="00B95522"/>
    <w:rsid w:val="00BC49D4"/>
    <w:rsid w:val="00C0620E"/>
    <w:rsid w:val="00C25BD4"/>
    <w:rsid w:val="00C30DEC"/>
    <w:rsid w:val="00C44733"/>
    <w:rsid w:val="00C547A0"/>
    <w:rsid w:val="00C555AA"/>
    <w:rsid w:val="00C63256"/>
    <w:rsid w:val="00C641CC"/>
    <w:rsid w:val="00C71736"/>
    <w:rsid w:val="00C72144"/>
    <w:rsid w:val="00C80D31"/>
    <w:rsid w:val="00CA6248"/>
    <w:rsid w:val="00CC1F52"/>
    <w:rsid w:val="00CC7B40"/>
    <w:rsid w:val="00CF28FC"/>
    <w:rsid w:val="00D0075C"/>
    <w:rsid w:val="00D101D8"/>
    <w:rsid w:val="00D40E13"/>
    <w:rsid w:val="00D60B8A"/>
    <w:rsid w:val="00D62C5A"/>
    <w:rsid w:val="00D63753"/>
    <w:rsid w:val="00D70E56"/>
    <w:rsid w:val="00DA502C"/>
    <w:rsid w:val="00DB382E"/>
    <w:rsid w:val="00DD2E0F"/>
    <w:rsid w:val="00DF0025"/>
    <w:rsid w:val="00E45D10"/>
    <w:rsid w:val="00E7729C"/>
    <w:rsid w:val="00EB1CBC"/>
    <w:rsid w:val="00EB3883"/>
    <w:rsid w:val="00EC1C76"/>
    <w:rsid w:val="00EE36B3"/>
    <w:rsid w:val="00EE7AD2"/>
    <w:rsid w:val="00EF3D8F"/>
    <w:rsid w:val="00EF4D04"/>
    <w:rsid w:val="00F06A5E"/>
    <w:rsid w:val="00F26BD3"/>
    <w:rsid w:val="00F3100C"/>
    <w:rsid w:val="00F453C8"/>
    <w:rsid w:val="00F45F00"/>
    <w:rsid w:val="00F55155"/>
    <w:rsid w:val="00F57531"/>
    <w:rsid w:val="00F96E50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9A8E"/>
  <w15:chartTrackingRefBased/>
  <w15:docId w15:val="{1CB5EC4B-0A91-4EA7-9913-6CAE44F9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D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D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D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D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7D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7D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7D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7D4F"/>
    <w:rPr>
      <w:b/>
      <w:bCs/>
    </w:rPr>
  </w:style>
  <w:style w:type="character" w:styleId="Emphasis">
    <w:name w:val="Emphasis"/>
    <w:basedOn w:val="DefaultParagraphFont"/>
    <w:uiPriority w:val="20"/>
    <w:qFormat/>
    <w:rsid w:val="00687D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7D4F"/>
    <w:rPr>
      <w:szCs w:val="32"/>
    </w:rPr>
  </w:style>
  <w:style w:type="paragraph" w:styleId="ListParagraph">
    <w:name w:val="List Paragraph"/>
    <w:basedOn w:val="Normal"/>
    <w:uiPriority w:val="34"/>
    <w:qFormat/>
    <w:rsid w:val="00687D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D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7D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4F"/>
    <w:rPr>
      <w:b/>
      <w:i/>
      <w:sz w:val="24"/>
    </w:rPr>
  </w:style>
  <w:style w:type="character" w:styleId="SubtleEmphasis">
    <w:name w:val="Subtle Emphasis"/>
    <w:uiPriority w:val="19"/>
    <w:qFormat/>
    <w:rsid w:val="00687D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7D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7D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7D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7D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D4F"/>
    <w:pPr>
      <w:outlineLvl w:val="9"/>
    </w:pPr>
  </w:style>
  <w:style w:type="table" w:styleId="TableGrid">
    <w:name w:val="Table Grid"/>
    <w:basedOn w:val="TableNormal"/>
    <w:uiPriority w:val="59"/>
    <w:unhideWhenUsed/>
    <w:rsid w:val="00E77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2B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BE4"/>
    <w:rPr>
      <w:color w:val="605E5C"/>
      <w:shd w:val="clear" w:color="auto" w:fill="E1DFDD"/>
    </w:rPr>
  </w:style>
  <w:style w:type="paragraph" w:customStyle="1" w:styleId="Default">
    <w:name w:val="Default"/>
    <w:rsid w:val="00FE7F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6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2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2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20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6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C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C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C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HNZm7z_JELw&amp;t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-uZsoal0by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blicdomainpictures.net/view-image.php?image=123970&amp;picture=&amp;jazyk=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Pennell-Huth, Paula A (HEALTH)</dc:creator>
  <cp:keywords/>
  <dc:description/>
  <cp:lastModifiedBy>Anand, Madhu M (HEALTH)</cp:lastModifiedBy>
  <cp:revision>3</cp:revision>
  <dcterms:created xsi:type="dcterms:W3CDTF">2022-04-11T18:22:00Z</dcterms:created>
  <dcterms:modified xsi:type="dcterms:W3CDTF">2022-04-11T18:22:00Z</dcterms:modified>
</cp:coreProperties>
</file>